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8" w:type="dxa"/>
        <w:tblLook w:val="01E0"/>
      </w:tblPr>
      <w:tblGrid>
        <w:gridCol w:w="6480"/>
        <w:gridCol w:w="720"/>
        <w:gridCol w:w="2160"/>
      </w:tblGrid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MINISTERUL AFACERILOR INTERNE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NESECRET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DIRECŢIA MEDICALĂ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 xml:space="preserve">Ex. </w:t>
            </w:r>
            <w:proofErr w:type="spellStart"/>
            <w:r w:rsidRPr="001C5B2E">
              <w:rPr>
                <w:rFonts w:ascii="Times New Roman" w:hAnsi="Times New Roman"/>
                <w:b/>
              </w:rPr>
              <w:t>unic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62332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332">
              <w:rPr>
                <w:rFonts w:ascii="Times New Roman" w:hAnsi="Times New Roman"/>
                <w:noProof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0pt;height:27.35pt;visibility:visible">
                  <v:imagedata r:id="rId6" o:title="" gain="69719f"/>
                </v:shape>
              </w:pic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Centrul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Medical de Diagnostic </w:t>
            </w:r>
          </w:p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Tratament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Ambulatoriu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„Dr.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Nicolae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Kretzulescu”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4A0B95" w:rsidP="004A0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Comisia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soluționare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contestațiilor</w:t>
            </w:r>
            <w:proofErr w:type="spellEnd"/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8E7A89" w:rsidP="008E7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497DF4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AB16A8" w:rsidRPr="001C5B2E">
              <w:rPr>
                <w:rFonts w:ascii="Times New Roman" w:hAnsi="Times New Roman"/>
                <w:b/>
              </w:rPr>
              <w:t xml:space="preserve">Nr.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97DF4">
              <w:rPr>
                <w:rFonts w:ascii="Times New Roman" w:hAnsi="Times New Roman"/>
                <w:b/>
              </w:rPr>
              <w:t xml:space="preserve">1241957 </w:t>
            </w:r>
            <w:r w:rsidR="00AB16A8" w:rsidRPr="001C5B2E">
              <w:rPr>
                <w:rFonts w:ascii="Times New Roman" w:hAnsi="Times New Roman"/>
                <w:b/>
              </w:rPr>
              <w:t xml:space="preserve">din </w:t>
            </w:r>
            <w:r w:rsidR="00497DF4">
              <w:rPr>
                <w:rFonts w:ascii="Times New Roman" w:hAnsi="Times New Roman"/>
                <w:b/>
              </w:rPr>
              <w:t xml:space="preserve"> 19.12.2022</w:t>
            </w: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73FB" w:rsidRDefault="00AB16A8" w:rsidP="006854EC">
      <w:pPr>
        <w:spacing w:line="240" w:lineRule="auto"/>
        <w:rPr>
          <w:b/>
        </w:rPr>
      </w:pPr>
      <w:r w:rsidRPr="00704BE2">
        <w:rPr>
          <w:b/>
        </w:rPr>
        <w:tab/>
      </w:r>
      <w:r w:rsidRPr="00704BE2">
        <w:rPr>
          <w:b/>
        </w:rPr>
        <w:tab/>
        <w:t xml:space="preserve">                                                                           </w:t>
      </w:r>
    </w:p>
    <w:p w:rsidR="00AB16A8" w:rsidRPr="006854EC" w:rsidRDefault="00AB16A8" w:rsidP="006854EC">
      <w:pPr>
        <w:spacing w:line="240" w:lineRule="auto"/>
        <w:rPr>
          <w:rFonts w:ascii="Times New Roman" w:hAnsi="Times New Roman"/>
        </w:rPr>
      </w:pPr>
      <w:r w:rsidRPr="00704BE2">
        <w:rPr>
          <w:b/>
        </w:rPr>
        <w:t xml:space="preserve">                                 </w:t>
      </w:r>
      <w:r w:rsidRPr="00704BE2">
        <w:rPr>
          <w:rFonts w:ascii="Times New Roman" w:hAnsi="Times New Roman"/>
        </w:rPr>
        <w:t xml:space="preserve">  </w:t>
      </w:r>
      <w:r w:rsidRPr="00704BE2">
        <w:rPr>
          <w:rFonts w:ascii="Times New Roman" w:hAnsi="Times New Roman"/>
          <w:b/>
        </w:rPr>
        <w:tab/>
      </w:r>
      <w:r w:rsidRPr="00704BE2">
        <w:rPr>
          <w:rFonts w:ascii="Times New Roman" w:hAnsi="Times New Roman"/>
          <w:b/>
        </w:rPr>
        <w:tab/>
        <w:t xml:space="preserve">                         </w:t>
      </w:r>
      <w:r w:rsidRPr="00704BE2">
        <w:rPr>
          <w:rFonts w:ascii="Times New Roman" w:hAnsi="Times New Roman"/>
        </w:rPr>
        <w:t xml:space="preserve">                                                        </w:t>
      </w:r>
      <w:r w:rsidRPr="00704BE2">
        <w:rPr>
          <w:rStyle w:val="Strong"/>
          <w:rFonts w:ascii="Times New Roman" w:hAnsi="Times New Roman"/>
          <w:bCs/>
        </w:rPr>
        <w:t xml:space="preserve">                        </w:t>
      </w:r>
    </w:p>
    <w:p w:rsidR="00BB6B4F" w:rsidRDefault="00BB6B4F" w:rsidP="00F94259">
      <w:pPr>
        <w:pStyle w:val="BodyText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Rezultat soluționare contestație</w:t>
      </w:r>
    </w:p>
    <w:p w:rsidR="00AB16A8" w:rsidRPr="008E7A89" w:rsidRDefault="00AB16A8" w:rsidP="00F94259">
      <w:pPr>
        <w:pStyle w:val="BodyText"/>
        <w:ind w:firstLine="708"/>
        <w:jc w:val="center"/>
        <w:rPr>
          <w:rFonts w:ascii="Times New Roman" w:hAnsi="Times New Roman"/>
        </w:rPr>
      </w:pPr>
      <w:r w:rsidRPr="008E7A89">
        <w:rPr>
          <w:rFonts w:ascii="Times New Roman" w:hAnsi="Times New Roman"/>
          <w:bCs/>
        </w:rPr>
        <w:t xml:space="preserve"> la </w:t>
      </w:r>
      <w:r w:rsidR="00BB6B4F">
        <w:rPr>
          <w:rFonts w:ascii="Times New Roman" w:hAnsi="Times New Roman"/>
          <w:bCs/>
        </w:rPr>
        <w:t>interviul</w:t>
      </w:r>
      <w:r w:rsidR="008E7A89" w:rsidRPr="008E7A89">
        <w:rPr>
          <w:rFonts w:ascii="Times New Roman" w:hAnsi="Times New Roman"/>
          <w:bCs/>
        </w:rPr>
        <w:t xml:space="preserve"> structurat pe subiecte profesionale</w:t>
      </w:r>
      <w:r w:rsidRPr="008E7A89">
        <w:rPr>
          <w:rFonts w:ascii="Times New Roman" w:hAnsi="Times New Roman"/>
        </w:rPr>
        <w:t xml:space="preserve"> organizat  pentru ocuparea a 2 </w:t>
      </w:r>
      <w:r w:rsidR="008E7A89" w:rsidRPr="008E7A89">
        <w:rPr>
          <w:rFonts w:ascii="Times New Roman" w:hAnsi="Times New Roman"/>
        </w:rPr>
        <w:t>unui post vacant d emedic sef cabinet la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Directia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Generala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Logistica-Unitati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Subordonate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din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cadrul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Serviciului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Medical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–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Aparat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Central si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Unitati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Subordonate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prevazut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la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pozitia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212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din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statul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de organizare C.M.D.T.A. “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Dr.N.</w:t>
      </w:r>
      <w:proofErr w:type="spellEnd"/>
      <w:r w:rsidR="008E7A89" w:rsidRPr="008E7A89">
        <w:rPr>
          <w:rFonts w:ascii="Times New Roman" w:hAnsi="Times New Roman"/>
          <w:sz w:val="26"/>
          <w:szCs w:val="26"/>
          <w:lang w:val="es-ES"/>
        </w:rPr>
        <w:t xml:space="preserve"> Kretzulescu” </w:t>
      </w:r>
      <w:proofErr w:type="spellStart"/>
      <w:r w:rsidR="008E7A89" w:rsidRPr="008E7A89">
        <w:rPr>
          <w:rFonts w:ascii="Times New Roman" w:hAnsi="Times New Roman"/>
          <w:sz w:val="26"/>
          <w:szCs w:val="26"/>
          <w:lang w:val="es-ES"/>
        </w:rPr>
        <w:t>Bucuresti</w:t>
      </w:r>
      <w:proofErr w:type="spellEnd"/>
      <w:r w:rsidRPr="008E7A89">
        <w:rPr>
          <w:rFonts w:ascii="Times New Roman" w:hAnsi="Times New Roman"/>
        </w:rPr>
        <w:t>, din rândul persoanelor care îndeplinesc condiţiile legale, criteriile specifice și cerințele pentru ocuparea posturilor vacante</w:t>
      </w:r>
    </w:p>
    <w:p w:rsidR="00F94259" w:rsidRPr="00F94259" w:rsidRDefault="00F94259" w:rsidP="00F94259">
      <w:pPr>
        <w:pStyle w:val="BodyText"/>
        <w:ind w:firstLine="708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06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54"/>
        <w:gridCol w:w="1704"/>
        <w:gridCol w:w="1170"/>
        <w:gridCol w:w="6248"/>
      </w:tblGrid>
      <w:tr w:rsidR="008E7A89" w:rsidRPr="001C5B2E" w:rsidTr="008E7A89">
        <w:trPr>
          <w:trHeight w:val="322"/>
        </w:trPr>
        <w:tc>
          <w:tcPr>
            <w:tcW w:w="654" w:type="dxa"/>
            <w:vMerge w:val="restart"/>
            <w:tcBorders>
              <w:top w:val="double" w:sz="4" w:space="0" w:color="auto"/>
            </w:tcBorders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</w:tcBorders>
            <w:vAlign w:val="center"/>
          </w:tcPr>
          <w:p w:rsidR="008E7A89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candidatului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codul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unic</w:t>
            </w:r>
            <w:proofErr w:type="spellEnd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8E7A89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 xml:space="preserve">Nota </w:t>
            </w:r>
            <w:proofErr w:type="spellStart"/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obţinută</w:t>
            </w:r>
            <w:proofErr w:type="spellEnd"/>
          </w:p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 concurs</w:t>
            </w:r>
          </w:p>
        </w:tc>
        <w:tc>
          <w:tcPr>
            <w:tcW w:w="624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Rezultat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contestați</w:t>
            </w:r>
            <w:r w:rsidR="00BB6B4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8E7A89" w:rsidRPr="001C5B2E" w:rsidTr="008E7A89">
        <w:trPr>
          <w:trHeight w:val="317"/>
        </w:trPr>
        <w:tc>
          <w:tcPr>
            <w:tcW w:w="654" w:type="dxa"/>
            <w:vMerge/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vMerge/>
            <w:tcBorders>
              <w:left w:val="single" w:sz="4" w:space="0" w:color="auto"/>
            </w:tcBorders>
            <w:vAlign w:val="center"/>
          </w:tcPr>
          <w:p w:rsidR="008E7A89" w:rsidRPr="001C5B2E" w:rsidRDefault="008E7A89" w:rsidP="008E7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A89" w:rsidRPr="001C5B2E" w:rsidTr="008E7A89">
        <w:trPr>
          <w:trHeight w:val="1111"/>
        </w:trPr>
        <w:tc>
          <w:tcPr>
            <w:tcW w:w="654" w:type="dxa"/>
            <w:tcBorders>
              <w:bottom w:val="double" w:sz="4" w:space="0" w:color="auto"/>
            </w:tcBorders>
            <w:vAlign w:val="center"/>
          </w:tcPr>
          <w:p w:rsidR="008E7A89" w:rsidRPr="001C5B2E" w:rsidRDefault="008E7A89" w:rsidP="008E7A8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8E7A89" w:rsidRPr="004A003B" w:rsidRDefault="008E7A89" w:rsidP="008E7A8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1240226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E7A89" w:rsidRPr="004A003B" w:rsidRDefault="008E7A89" w:rsidP="008E7A8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5,10</w:t>
            </w:r>
          </w:p>
        </w:tc>
        <w:tc>
          <w:tcPr>
            <w:tcW w:w="624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E7A89" w:rsidRPr="006854EC" w:rsidRDefault="008E7A89" w:rsidP="008E7A89">
            <w:pPr>
              <w:tabs>
                <w:tab w:val="left" w:pos="2354"/>
              </w:tabs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Comisia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soluționare</w:t>
            </w:r>
            <w:proofErr w:type="spellEnd"/>
            <w:r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</w:rPr>
              <w:t>contestațiilor</w:t>
            </w:r>
            <w:proofErr w:type="spellEnd"/>
            <w:r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</w:rPr>
              <w:t>constatat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următoarele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497DF4" w:rsidRPr="00E0467B" w:rsidRDefault="00BB6B4F" w:rsidP="008E7A89">
            <w:pPr>
              <w:spacing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  <w:lang w:val="ro-RO"/>
              </w:rPr>
              <w:t>1)</w:t>
            </w:r>
            <w:r w:rsidR="008E7A89" w:rsidRPr="008E7A89">
              <w:rPr>
                <w:rFonts w:ascii="Times New Roman" w:hAnsi="Times New Roman"/>
                <w:noProof/>
                <w:lang w:val="ro-RO"/>
              </w:rPr>
              <w:t xml:space="preserve"> întrebarea nr. 1 din interviu </w:t>
            </w:r>
            <w:r w:rsidR="008E7A89" w:rsidRP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 w:rsidRPr="008E7A89">
              <w:rPr>
                <w:rFonts w:ascii="Times New Roman" w:hAnsi="Times New Roman"/>
                <w:lang w:val="es-ES"/>
              </w:rPr>
              <w:t>face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parte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b</w:t>
            </w:r>
            <w:r w:rsidR="008E7A89" w:rsidRPr="008E7A89">
              <w:rPr>
                <w:rFonts w:ascii="Times New Roman" w:hAnsi="Times New Roman"/>
                <w:lang w:val="es-ES"/>
              </w:rPr>
              <w:t>ibliografie</w:t>
            </w:r>
            <w:proofErr w:type="spellEnd"/>
            <w:r w:rsidR="008E7A89" w:rsidRPr="008E7A89">
              <w:rPr>
                <w:rFonts w:ascii="Times New Roman" w:hAnsi="Times New Roman"/>
                <w:lang w:val="es-ES"/>
              </w:rPr>
              <w:t xml:space="preserve"> dar </w:t>
            </w:r>
            <w:proofErr w:type="spellStart"/>
            <w:r w:rsidR="008E7A89" w:rsidRPr="008E7A89">
              <w:rPr>
                <w:rFonts w:ascii="Times New Roman" w:hAnsi="Times New Roman"/>
                <w:lang w:val="es-ES"/>
              </w:rPr>
              <w:t>nu</w:t>
            </w:r>
            <w:proofErr w:type="spellEnd"/>
            <w:r w:rsidR="008E7A89" w:rsidRPr="008E7A89">
              <w:rPr>
                <w:rFonts w:ascii="Times New Roman" w:hAnsi="Times New Roman"/>
                <w:lang w:val="es-ES"/>
              </w:rPr>
              <w:t xml:space="preserve"> si </w:t>
            </w:r>
            <w:proofErr w:type="spellStart"/>
            <w:r w:rsidR="008E7A89" w:rsidRPr="008E7A89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="008E7A89" w:rsidRP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tematica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indicate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in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anuntul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concurs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nr.1264905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07.11.2022,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motiv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pentru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care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a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fost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anulat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subiectul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si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candidatului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i s-a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acordat</w:t>
            </w:r>
            <w:proofErr w:type="spellEnd"/>
            <w:r w:rsidR="008E7A89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8E7A89">
              <w:rPr>
                <w:rFonts w:ascii="Times New Roman" w:hAnsi="Times New Roman"/>
                <w:lang w:val="es-ES"/>
              </w:rPr>
              <w:t>punc</w:t>
            </w:r>
            <w:r w:rsidR="00E223D6">
              <w:rPr>
                <w:rFonts w:ascii="Times New Roman" w:hAnsi="Times New Roman"/>
                <w:lang w:val="es-ES"/>
              </w:rPr>
              <w:t>taj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maxim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respectiv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 1,5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puncte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.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Astfel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punctajul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 final la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ace</w:t>
            </w:r>
            <w:r w:rsidR="00E0467B">
              <w:rPr>
                <w:rFonts w:ascii="Times New Roman" w:hAnsi="Times New Roman"/>
                <w:lang w:val="es-ES"/>
              </w:rPr>
              <w:t>a</w:t>
            </w:r>
            <w:r w:rsidR="00E223D6">
              <w:rPr>
                <w:rFonts w:ascii="Times New Roman" w:hAnsi="Times New Roman"/>
                <w:lang w:val="es-ES"/>
              </w:rPr>
              <w:t>st</w:t>
            </w:r>
            <w:proofErr w:type="spellEnd"/>
            <w:r w:rsidR="00E223D6">
              <w:rPr>
                <w:rFonts w:ascii="Times New Roman" w:hAnsi="Times New Roman"/>
                <w:lang w:val="ro-RO"/>
              </w:rPr>
              <w:t>ă</w:t>
            </w:r>
            <w:r w:rsidR="00E223D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223D6">
              <w:rPr>
                <w:rFonts w:ascii="Times New Roman" w:hAnsi="Times New Roman"/>
                <w:lang w:val="es-ES"/>
              </w:rPr>
              <w:t>intrebare</w:t>
            </w:r>
            <w:proofErr w:type="spellEnd"/>
            <w:r w:rsidR="00E223D6">
              <w:rPr>
                <w:rFonts w:ascii="Times New Roman" w:hAnsi="Times New Roman"/>
                <w:lang w:val="es-ES"/>
              </w:rPr>
              <w:t xml:space="preserve"> </w:t>
            </w:r>
            <w:r w:rsidR="00E0467B">
              <w:rPr>
                <w:rFonts w:ascii="Times New Roman" w:hAnsi="Times New Roman"/>
                <w:lang w:val="es-ES"/>
              </w:rPr>
              <w:t xml:space="preserve">este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format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0,30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puncte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acordate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initial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la interviú  si 1,20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puncte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reprezentand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diferenta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="00E0467B">
              <w:rPr>
                <w:rFonts w:ascii="Times New Roman" w:hAnsi="Times New Roman"/>
                <w:lang w:val="es-ES"/>
              </w:rPr>
              <w:t>punctaj</w:t>
            </w:r>
            <w:proofErr w:type="spellEnd"/>
            <w:r w:rsidR="00E0467B">
              <w:rPr>
                <w:rFonts w:ascii="Times New Roman" w:hAnsi="Times New Roman"/>
                <w:lang w:val="es-ES"/>
              </w:rPr>
              <w:t>.</w:t>
            </w:r>
          </w:p>
          <w:p w:rsidR="00BB6B4F" w:rsidRDefault="00BB6B4F" w:rsidP="00BB6B4F">
            <w:pPr>
              <w:tabs>
                <w:tab w:val="left" w:pos="8100"/>
              </w:tabs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t xml:space="preserve">2)intrebarea nr. 5 in interviu face parte din  bibliografia si tematica </w:t>
            </w:r>
            <w:proofErr w:type="spellStart"/>
            <w:r>
              <w:rPr>
                <w:rFonts w:ascii="Times New Roman" w:hAnsi="Times New Roman"/>
                <w:lang w:val="es-ES"/>
              </w:rPr>
              <w:t>indicate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s-ES"/>
              </w:rPr>
              <w:t>anuntul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s-ES"/>
              </w:rPr>
              <w:t>concurs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nr.1264905 </w:t>
            </w:r>
            <w:proofErr w:type="spellStart"/>
            <w:r>
              <w:rPr>
                <w:rFonts w:ascii="Times New Roman" w:hAnsi="Times New Roman"/>
                <w:lang w:val="es-ES"/>
              </w:rPr>
              <w:t>din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07.11.2022; </w:t>
            </w:r>
            <w:proofErr w:type="spellStart"/>
            <w:r>
              <w:rPr>
                <w:rFonts w:ascii="Times New Roman" w:hAnsi="Times New Roman"/>
                <w:lang w:val="es-ES"/>
              </w:rPr>
              <w:t>comisia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apreciaza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nejustificata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contestatia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lang w:val="es-ES"/>
              </w:rPr>
              <w:t>aceasta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intrebare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deorece</w:t>
            </w:r>
            <w:proofErr w:type="spellEnd"/>
            <w:r>
              <w:rPr>
                <w:rFonts w:ascii="Times New Roman" w:hAnsi="Times New Roman"/>
                <w:lang w:val="es-ES"/>
              </w:rPr>
              <w:t>:</w:t>
            </w:r>
          </w:p>
          <w:p w:rsidR="00BB6B4F" w:rsidRDefault="00BB6B4F" w:rsidP="00BB6B4F">
            <w:pPr>
              <w:tabs>
                <w:tab w:val="left" w:pos="8100"/>
              </w:tabs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-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modalitatile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furnizare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serviciilo</w:t>
            </w:r>
            <w:r>
              <w:rPr>
                <w:rFonts w:ascii="Times New Roman" w:hAnsi="Times New Roman"/>
                <w:lang w:val="es-ES"/>
              </w:rPr>
              <w:t>r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medicale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s-ES"/>
              </w:rPr>
              <w:t>vezi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punctul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lang w:val="es-ES"/>
              </w:rPr>
              <w:t>din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t</w:t>
            </w:r>
            <w:r w:rsidRPr="00BB6B4F">
              <w:rPr>
                <w:rFonts w:ascii="Times New Roman" w:hAnsi="Times New Roman"/>
                <w:lang w:val="es-ES"/>
              </w:rPr>
              <w:t>ematica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examen)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sunt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legiferate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prin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urmatoarele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acte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normative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: HG 696/2021 si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1068/29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iunie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2021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cu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completarile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si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modificarile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ulterioare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ale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acestor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acte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inclusiv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955/31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martie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2022,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modifica si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completeaza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1068/29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iunie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2021,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inclusiv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Anexa 3 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acestui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</w:t>
            </w:r>
            <w:proofErr w:type="spellEnd"/>
            <w:r>
              <w:rPr>
                <w:rFonts w:ascii="Times New Roman" w:hAnsi="Times New Roman"/>
                <w:lang w:val="es-ES"/>
              </w:rPr>
              <w:t>;</w:t>
            </w:r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a</w:t>
            </w:r>
            <w:r w:rsidRPr="00BB6B4F">
              <w:rPr>
                <w:rFonts w:ascii="Times New Roman" w:hAnsi="Times New Roman"/>
                <w:lang w:val="es-ES"/>
              </w:rPr>
              <w:t>mbele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acte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normative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lang w:val="es-ES"/>
              </w:rPr>
              <w:t>regasesc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es-ES"/>
              </w:rPr>
              <w:t>b</w:t>
            </w:r>
            <w:r w:rsidRPr="00BB6B4F">
              <w:rPr>
                <w:rFonts w:ascii="Times New Roman" w:hAnsi="Times New Roman"/>
                <w:lang w:val="es-ES"/>
              </w:rPr>
              <w:t>ibliografia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examen.</w:t>
            </w:r>
          </w:p>
          <w:p w:rsidR="00BB6B4F" w:rsidRPr="00BB6B4F" w:rsidRDefault="00BB6B4F" w:rsidP="00BB6B4F">
            <w:pPr>
              <w:tabs>
                <w:tab w:val="left" w:pos="8100"/>
              </w:tabs>
              <w:jc w:val="both"/>
              <w:rPr>
                <w:rFonts w:ascii="Times New Roman" w:hAnsi="Times New Roman"/>
                <w:lang w:val="es-ES"/>
              </w:rPr>
            </w:pPr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 xml:space="preserve">-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</w:t>
            </w:r>
            <w:r>
              <w:rPr>
                <w:rFonts w:ascii="Times New Roman" w:hAnsi="Times New Roman"/>
                <w:lang w:val="es-ES"/>
              </w:rPr>
              <w:t>odalitatile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s-ES"/>
              </w:rPr>
              <w:t>furnizare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s-ES"/>
              </w:rPr>
              <w:t>serviciilor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m</w:t>
            </w:r>
            <w:r w:rsidRPr="00BB6B4F">
              <w:rPr>
                <w:rFonts w:ascii="Times New Roman" w:hAnsi="Times New Roman"/>
                <w:lang w:val="es-ES"/>
              </w:rPr>
              <w:t>edicale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conform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actelor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legislative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in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vigoare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la data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publicarii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anuntului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au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la baza un CONTRACT DE FURNIZARE </w:t>
            </w:r>
            <w:r>
              <w:rPr>
                <w:rFonts w:ascii="Times New Roman" w:hAnsi="Times New Roman"/>
                <w:lang w:val="es-E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s-ES"/>
              </w:rPr>
              <w:t>servicii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m</w:t>
            </w:r>
            <w:r w:rsidRPr="00BB6B4F">
              <w:rPr>
                <w:rFonts w:ascii="Times New Roman" w:hAnsi="Times New Roman"/>
                <w:lang w:val="es-ES"/>
              </w:rPr>
              <w:t>edicale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in asistenta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medicala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primara,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ambulatorie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si de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spital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.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Contractul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furnizare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s-ES"/>
              </w:rPr>
              <w:t>servicii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m</w:t>
            </w:r>
            <w:r w:rsidRPr="00BB6B4F">
              <w:rPr>
                <w:rFonts w:ascii="Times New Roman" w:hAnsi="Times New Roman"/>
                <w:lang w:val="es-ES"/>
              </w:rPr>
              <w:t>edicale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in asistenta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medicala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primara este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prevazut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in Anexa 3 la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1068/29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iunie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2021, anexa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fost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modificata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si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completata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prin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Ordinul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955/31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martie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2022. La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articolul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9,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aliniatul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4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sunt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prevazute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sanctiunile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se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regasesc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prin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urmare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in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tematica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concurs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si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care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au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facut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obiectul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contestatiei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candidatei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.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acest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motiv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comisia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respinge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contestatia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candidatei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privind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subiectul</w:t>
            </w:r>
            <w:proofErr w:type="spellEnd"/>
            <w:r w:rsidR="00BD6603">
              <w:rPr>
                <w:rFonts w:ascii="Times New Roman" w:hAnsi="Times New Roman"/>
                <w:lang w:val="es-ES"/>
              </w:rPr>
              <w:t xml:space="preserve"> 5 </w:t>
            </w:r>
            <w:proofErr w:type="spellStart"/>
            <w:r w:rsidR="00BD6603">
              <w:rPr>
                <w:rFonts w:ascii="Times New Roman" w:hAnsi="Times New Roman"/>
                <w:lang w:val="es-ES"/>
              </w:rPr>
              <w:t>din</w:t>
            </w:r>
            <w:proofErr w:type="spellEnd"/>
            <w:r w:rsidR="00BD6603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varianta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A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ca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fiind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BB6B4F">
              <w:rPr>
                <w:rFonts w:ascii="Times New Roman" w:hAnsi="Times New Roman"/>
                <w:lang w:val="es-ES"/>
              </w:rPr>
              <w:t>nefondata</w:t>
            </w:r>
            <w:proofErr w:type="spellEnd"/>
            <w:r w:rsidRPr="00BB6B4F">
              <w:rPr>
                <w:rFonts w:ascii="Times New Roman" w:hAnsi="Times New Roman"/>
                <w:lang w:val="es-ES"/>
              </w:rPr>
              <w:t>.</w:t>
            </w:r>
          </w:p>
          <w:p w:rsidR="00BB6B4F" w:rsidRPr="00BB6B4F" w:rsidRDefault="00BB6B4F" w:rsidP="00BB6B4F">
            <w:pPr>
              <w:tabs>
                <w:tab w:val="left" w:pos="8100"/>
              </w:tabs>
              <w:jc w:val="both"/>
              <w:rPr>
                <w:rFonts w:ascii="Times New Roman" w:hAnsi="Times New Roman"/>
                <w:lang w:val="es-ES"/>
              </w:rPr>
            </w:pPr>
          </w:p>
          <w:p w:rsidR="008E7A89" w:rsidRPr="00D21D66" w:rsidRDefault="008E7A89" w:rsidP="008E7A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noProof/>
                <w:u w:val="single"/>
                <w:lang w:val="ro-RO"/>
              </w:rPr>
            </w:pPr>
          </w:p>
          <w:p w:rsidR="008E7A89" w:rsidRPr="006854EC" w:rsidRDefault="00BD6603" w:rsidP="008E7A8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 concluzie, comisia de solutionare a contestaiilor admite contestatia cu privire la subiectul nr.1 si respinge contesatia cu privire la subiectul nr. 5.</w:t>
            </w:r>
          </w:p>
          <w:p w:rsidR="008E7A89" w:rsidRPr="004A003B" w:rsidRDefault="008E7A89" w:rsidP="00BB6B4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6A8" w:rsidRPr="00704BE2" w:rsidRDefault="00AB16A8" w:rsidP="00BF0084">
      <w:pPr>
        <w:pStyle w:val="BodyText"/>
        <w:rPr>
          <w:rFonts w:ascii="Times New Roman" w:hAnsi="Times New Roman"/>
          <w:sz w:val="22"/>
          <w:szCs w:val="22"/>
        </w:rPr>
      </w:pPr>
    </w:p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D14A6F" w:rsidP="00BF008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Rezultatul contestației va fi comunicat comisiei de concurs în vederea publicării anunțului cu rezultatele finale la concurs</w:t>
      </w:r>
      <w:r w:rsidR="004A0B95">
        <w:rPr>
          <w:rFonts w:ascii="Times New Roman" w:hAnsi="Times New Roman"/>
        </w:rPr>
        <w:t>.</w:t>
      </w:r>
    </w:p>
    <w:p w:rsidR="00AB16A8" w:rsidRDefault="00AB16A8" w:rsidP="00BF008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16A8" w:rsidRDefault="00AB16A8" w:rsidP="00BF0084">
      <w:pPr>
        <w:pStyle w:val="BodyText"/>
        <w:spacing w:line="360" w:lineRule="auto"/>
        <w:jc w:val="left"/>
        <w:rPr>
          <w:b/>
        </w:rPr>
      </w:pPr>
    </w:p>
    <w:tbl>
      <w:tblPr>
        <w:tblW w:w="9720" w:type="dxa"/>
        <w:tblInd w:w="108" w:type="dxa"/>
        <w:tblLook w:val="01E0"/>
      </w:tblPr>
      <w:tblGrid>
        <w:gridCol w:w="3341"/>
        <w:gridCol w:w="1519"/>
        <w:gridCol w:w="180"/>
        <w:gridCol w:w="1440"/>
        <w:gridCol w:w="3240"/>
      </w:tblGrid>
      <w:tr w:rsidR="00AB16A8" w:rsidRPr="001C5B2E" w:rsidTr="00ED7245">
        <w:tc>
          <w:tcPr>
            <w:tcW w:w="5040" w:type="dxa"/>
            <w:gridSpan w:val="3"/>
          </w:tcPr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C5B2E">
              <w:rPr>
                <w:rFonts w:ascii="Times New Roman" w:hAnsi="Times New Roman"/>
                <w:b/>
                <w:u w:val="single"/>
              </w:rPr>
              <w:t>VERIFICAT</w:t>
            </w: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2E">
              <w:rPr>
                <w:rFonts w:ascii="Times New Roman" w:hAnsi="Times New Roman"/>
                <w:b/>
              </w:rPr>
              <w:t xml:space="preserve">PREŞEDINTELE COMISIEI DE </w:t>
            </w:r>
            <w:r>
              <w:rPr>
                <w:rFonts w:ascii="Times New Roman" w:hAnsi="Times New Roman"/>
                <w:b/>
              </w:rPr>
              <w:t>SOLUȚIONARE A CONTESTAȚIILOR</w:t>
            </w: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0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2E">
              <w:rPr>
                <w:rFonts w:ascii="Times New Roman" w:hAnsi="Times New Roman"/>
                <w:b/>
                <w:u w:val="single"/>
              </w:rPr>
              <w:t>ÎNTOCMIT</w:t>
            </w:r>
          </w:p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B2E">
              <w:rPr>
                <w:rFonts w:ascii="Times New Roman" w:hAnsi="Times New Roman"/>
                <w:b/>
              </w:rPr>
              <w:t>SECRETARUL COMISIEI DE CONCURS</w:t>
            </w:r>
          </w:p>
          <w:p w:rsidR="00AB16A8" w:rsidRPr="001C5B2E" w:rsidRDefault="00AB16A8" w:rsidP="0065038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</w:tr>
      <w:tr w:rsidR="00AB16A8" w:rsidRPr="001C5B2E" w:rsidTr="00ED7245">
        <w:tc>
          <w:tcPr>
            <w:tcW w:w="9720" w:type="dxa"/>
            <w:gridSpan w:val="5"/>
          </w:tcPr>
          <w:p w:rsidR="00AB16A8" w:rsidRPr="001C5B2E" w:rsidRDefault="00AB16A8" w:rsidP="00023D9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1C5B2E">
              <w:rPr>
                <w:rFonts w:ascii="Times New Roman" w:hAnsi="Times New Roman"/>
                <w:b/>
              </w:rPr>
              <w:t>Afişat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</w:rPr>
              <w:t>în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data de </w:t>
            </w:r>
            <w:r w:rsidR="00BD6603">
              <w:rPr>
                <w:rFonts w:ascii="Times New Roman" w:hAnsi="Times New Roman"/>
                <w:b/>
              </w:rPr>
              <w:t>19.12.2022</w:t>
            </w:r>
            <w:r w:rsidRPr="001C5B2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C5B2E">
              <w:rPr>
                <w:rFonts w:ascii="Times New Roman" w:hAnsi="Times New Roman"/>
                <w:b/>
              </w:rPr>
              <w:t>ora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  <w:r w:rsidR="00023D98">
              <w:rPr>
                <w:rFonts w:ascii="Times New Roman" w:hAnsi="Times New Roman"/>
                <w:b/>
              </w:rPr>
              <w:t>16.00</w:t>
            </w:r>
          </w:p>
        </w:tc>
      </w:tr>
    </w:tbl>
    <w:p w:rsidR="00AB16A8" w:rsidRPr="00704BE2" w:rsidRDefault="00AB16A8" w:rsidP="00260EA6">
      <w:pPr>
        <w:spacing w:after="0" w:line="240" w:lineRule="auto"/>
        <w:rPr>
          <w:rFonts w:ascii="Times New Roman" w:hAnsi="Times New Roman"/>
          <w:b/>
        </w:rPr>
      </w:pPr>
    </w:p>
    <w:p w:rsidR="00AB16A8" w:rsidRDefault="00AB16A8"/>
    <w:p w:rsidR="00AB16A8" w:rsidRDefault="00AB16A8"/>
    <w:sectPr w:rsidR="00AB16A8" w:rsidSect="00295E36">
      <w:pgSz w:w="11906" w:h="16838" w:code="9"/>
      <w:pgMar w:top="540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7227"/>
    <w:multiLevelType w:val="hybridMultilevel"/>
    <w:tmpl w:val="DDE06FAE"/>
    <w:lvl w:ilvl="0" w:tplc="47EEE4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DCA7648"/>
    <w:multiLevelType w:val="hybridMultilevel"/>
    <w:tmpl w:val="D856E502"/>
    <w:lvl w:ilvl="0" w:tplc="6EE00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084"/>
    <w:rsid w:val="00023D98"/>
    <w:rsid w:val="00086E54"/>
    <w:rsid w:val="0013374D"/>
    <w:rsid w:val="00167507"/>
    <w:rsid w:val="001C5B2E"/>
    <w:rsid w:val="00233472"/>
    <w:rsid w:val="00250C8A"/>
    <w:rsid w:val="00253DCF"/>
    <w:rsid w:val="00260EA6"/>
    <w:rsid w:val="002811BA"/>
    <w:rsid w:val="00295E36"/>
    <w:rsid w:val="00350E5B"/>
    <w:rsid w:val="003709A9"/>
    <w:rsid w:val="00373E37"/>
    <w:rsid w:val="003E4FC9"/>
    <w:rsid w:val="00443521"/>
    <w:rsid w:val="00476F1C"/>
    <w:rsid w:val="00497DF4"/>
    <w:rsid w:val="004A003B"/>
    <w:rsid w:val="004A0B95"/>
    <w:rsid w:val="004D4ADD"/>
    <w:rsid w:val="00503CEC"/>
    <w:rsid w:val="00580913"/>
    <w:rsid w:val="00580D3E"/>
    <w:rsid w:val="00650382"/>
    <w:rsid w:val="00652137"/>
    <w:rsid w:val="006854EC"/>
    <w:rsid w:val="00704BE2"/>
    <w:rsid w:val="008E544E"/>
    <w:rsid w:val="008E7A89"/>
    <w:rsid w:val="009229F4"/>
    <w:rsid w:val="00943F47"/>
    <w:rsid w:val="009A6168"/>
    <w:rsid w:val="009C73FB"/>
    <w:rsid w:val="00A62332"/>
    <w:rsid w:val="00AA31A5"/>
    <w:rsid w:val="00AB16A8"/>
    <w:rsid w:val="00B77DD1"/>
    <w:rsid w:val="00BB6B4F"/>
    <w:rsid w:val="00BD6603"/>
    <w:rsid w:val="00BF0084"/>
    <w:rsid w:val="00C27137"/>
    <w:rsid w:val="00C51F9E"/>
    <w:rsid w:val="00D14A6F"/>
    <w:rsid w:val="00D17DC5"/>
    <w:rsid w:val="00D21D66"/>
    <w:rsid w:val="00D93DA4"/>
    <w:rsid w:val="00DD721E"/>
    <w:rsid w:val="00E0467B"/>
    <w:rsid w:val="00E223D6"/>
    <w:rsid w:val="00E3095F"/>
    <w:rsid w:val="00E60CEA"/>
    <w:rsid w:val="00E83838"/>
    <w:rsid w:val="00E91C6C"/>
    <w:rsid w:val="00E949C8"/>
    <w:rsid w:val="00ED7245"/>
    <w:rsid w:val="00EE064A"/>
    <w:rsid w:val="00F40577"/>
    <w:rsid w:val="00F65856"/>
    <w:rsid w:val="00F94259"/>
    <w:rsid w:val="00FC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0084"/>
    <w:pPr>
      <w:spacing w:after="0" w:line="240" w:lineRule="auto"/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084"/>
    <w:rPr>
      <w:rFonts w:ascii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BF008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330B-6E99-442C-8C6F-636B7944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Paun Vasile</cp:lastModifiedBy>
  <cp:revision>24</cp:revision>
  <cp:lastPrinted>2022-12-19T14:59:00Z</cp:lastPrinted>
  <dcterms:created xsi:type="dcterms:W3CDTF">2021-04-05T05:47:00Z</dcterms:created>
  <dcterms:modified xsi:type="dcterms:W3CDTF">2022-12-19T14:59:00Z</dcterms:modified>
</cp:coreProperties>
</file>